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4" w:rsidRPr="00366B15" w:rsidRDefault="00156794" w:rsidP="00366B15">
      <w:pPr>
        <w:pStyle w:val="Nagwek1"/>
        <w:jc w:val="center"/>
        <w:rPr>
          <w:b/>
        </w:rPr>
      </w:pPr>
      <w:r w:rsidRPr="00366B15">
        <w:rPr>
          <w:b/>
        </w:rPr>
        <w:t xml:space="preserve">SPRAWOZDANIE ZA </w:t>
      </w:r>
      <w:r w:rsidR="002575C5">
        <w:rPr>
          <w:b/>
        </w:rPr>
        <w:t>ROK</w:t>
      </w:r>
      <w:r w:rsidRPr="00366B15">
        <w:rPr>
          <w:b/>
        </w:rPr>
        <w:t xml:space="preserve"> 2022</w:t>
      </w:r>
    </w:p>
    <w:p w:rsidR="001816BC" w:rsidRPr="002575C5" w:rsidRDefault="00156794" w:rsidP="002575C5">
      <w:pPr>
        <w:pStyle w:val="Nagwek2"/>
        <w:jc w:val="both"/>
        <w:rPr>
          <w:sz w:val="22"/>
          <w:szCs w:val="22"/>
        </w:rPr>
      </w:pPr>
      <w:r w:rsidRPr="002575C5">
        <w:rPr>
          <w:sz w:val="22"/>
          <w:szCs w:val="22"/>
        </w:rPr>
        <w:t xml:space="preserve">Z realizacji </w:t>
      </w:r>
      <w:r w:rsidR="001816BC" w:rsidRPr="002575C5">
        <w:rPr>
          <w:sz w:val="22"/>
          <w:szCs w:val="22"/>
        </w:rPr>
        <w:t>Program</w:t>
      </w:r>
      <w:r w:rsidRPr="002575C5">
        <w:rPr>
          <w:sz w:val="22"/>
          <w:szCs w:val="22"/>
        </w:rPr>
        <w:t>u</w:t>
      </w:r>
      <w:r w:rsidR="001816BC" w:rsidRPr="002575C5">
        <w:rPr>
          <w:sz w:val="22"/>
          <w:szCs w:val="22"/>
        </w:rPr>
        <w:t xml:space="preserve"> ochrony powietrza dla strefy podkarpackiej z u</w:t>
      </w:r>
      <w:bookmarkStart w:id="0" w:name="_GoBack"/>
      <w:bookmarkEnd w:id="0"/>
      <w:r w:rsidR="001816BC" w:rsidRPr="002575C5">
        <w:rPr>
          <w:sz w:val="22"/>
          <w:szCs w:val="22"/>
        </w:rPr>
        <w:t>wagi na stwierdzone przekroczenia poziomu dopuszcz</w:t>
      </w:r>
      <w:r w:rsidRPr="002575C5">
        <w:rPr>
          <w:sz w:val="22"/>
          <w:szCs w:val="22"/>
        </w:rPr>
        <w:t>alnego pyłu zawieszonego PM10 I </w:t>
      </w:r>
      <w:r w:rsidR="001816BC" w:rsidRPr="002575C5">
        <w:rPr>
          <w:sz w:val="22"/>
          <w:szCs w:val="22"/>
        </w:rPr>
        <w:t>poziomu dopuszczalnego pyłu zawieszonego PM2,5 oraz poziomu docelowego benzo(a)pirenu oraz Plan Działań Krótkoterminowych</w:t>
      </w:r>
    </w:p>
    <w:p w:rsidR="001816BC" w:rsidRPr="00366B15" w:rsidRDefault="001816BC" w:rsidP="001816BC">
      <w:pPr>
        <w:rPr>
          <w:sz w:val="2"/>
          <w:lang w:val="en-US" w:eastAsia="pl-PL"/>
        </w:rPr>
      </w:pPr>
    </w:p>
    <w:tbl>
      <w:tblPr>
        <w:tblW w:w="4994" w:type="pct"/>
        <w:tblInd w:w="10"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CellMar>
          <w:left w:w="10" w:type="dxa"/>
          <w:right w:w="10" w:type="dxa"/>
        </w:tblCellMar>
        <w:tblLook w:val="0000" w:firstRow="0" w:lastRow="0" w:firstColumn="0" w:lastColumn="0" w:noHBand="0" w:noVBand="0"/>
        <w:tblCaption w:val="Informacja ogólne na temat sprawozdania z realizacji programu ochrony powietrza"/>
        <w:tblDescription w:val="Tabela nr 1  zawiera informacje ogólne na temat sprawozdania z realizacji programu ochrony powietrza dla strefy podkarpackiej"/>
      </w:tblPr>
      <w:tblGrid>
        <w:gridCol w:w="299"/>
        <w:gridCol w:w="3513"/>
        <w:gridCol w:w="5192"/>
      </w:tblGrid>
      <w:tr w:rsidR="001816BC" w:rsidRPr="001816BC" w:rsidTr="00366B15">
        <w:trPr>
          <w:tblHeader/>
        </w:trPr>
        <w:tc>
          <w:tcPr>
            <w:tcW w:w="5000" w:type="pct"/>
            <w:gridSpan w:val="3"/>
            <w:shd w:val="clear" w:color="auto" w:fill="AAAAAA"/>
          </w:tcPr>
          <w:p w:rsidR="001816BC" w:rsidRPr="001816BC" w:rsidRDefault="001816BC" w:rsidP="002575C5">
            <w:pPr>
              <w:pStyle w:val="Nagwek2"/>
              <w:rPr>
                <w:rFonts w:eastAsia="Arial" w:cs="Arial"/>
                <w:szCs w:val="20"/>
                <w:lang w:val="en-US" w:eastAsia="pl-PL"/>
              </w:rPr>
            </w:pPr>
            <w:r w:rsidRPr="001816BC">
              <w:rPr>
                <w:rFonts w:eastAsia="Verdana"/>
                <w:shd w:val="clear" w:color="auto" w:fill="AAAAAA"/>
                <w:lang w:val="en-US" w:eastAsia="pl-PL"/>
              </w:rPr>
              <w:t>I. Informacja ogólne na temat sprawozdania z realizacji programu ochrony powietrza</w:t>
            </w:r>
          </w:p>
        </w:tc>
      </w:tr>
      <w:tr w:rsidR="001816BC" w:rsidRPr="001816BC" w:rsidTr="00366B15">
        <w:trPr>
          <w:tblHeader/>
        </w:trPr>
        <w:tc>
          <w:tcPr>
            <w:tcW w:w="166" w:type="pct"/>
            <w:shd w:val="clear" w:color="auto" w:fill="AAAAAA"/>
          </w:tcPr>
          <w:p w:rsidR="001816BC" w:rsidRPr="001816BC" w:rsidRDefault="001816BC" w:rsidP="001816BC">
            <w:pPr>
              <w:pStyle w:val="Nagwek2"/>
              <w:rPr>
                <w:rFonts w:eastAsia="Arial" w:cs="Arial"/>
                <w:szCs w:val="20"/>
                <w:lang w:val="en-US" w:eastAsia="pl-PL"/>
              </w:rPr>
            </w:pPr>
            <w:r w:rsidRPr="001816BC">
              <w:rPr>
                <w:rFonts w:eastAsia="Verdana"/>
                <w:shd w:val="clear" w:color="auto" w:fill="AAAAAA"/>
                <w:lang w:val="en-US" w:eastAsia="pl-PL"/>
              </w:rPr>
              <w:t>Lp.</w:t>
            </w:r>
          </w:p>
        </w:tc>
        <w:tc>
          <w:tcPr>
            <w:tcW w:w="1951" w:type="pct"/>
            <w:shd w:val="clear" w:color="auto" w:fill="AAAAAA"/>
          </w:tcPr>
          <w:p w:rsidR="001816BC" w:rsidRPr="001816BC" w:rsidRDefault="001816BC" w:rsidP="001816BC">
            <w:pPr>
              <w:pStyle w:val="Nagwek2"/>
              <w:rPr>
                <w:rFonts w:eastAsia="Arial" w:cs="Arial"/>
                <w:szCs w:val="20"/>
                <w:lang w:val="en-US" w:eastAsia="pl-PL"/>
              </w:rPr>
            </w:pPr>
            <w:r w:rsidRPr="001816BC">
              <w:rPr>
                <w:rFonts w:eastAsia="Verdana"/>
                <w:shd w:val="clear" w:color="auto" w:fill="AAAAAA"/>
                <w:lang w:val="en-US" w:eastAsia="pl-PL"/>
              </w:rPr>
              <w:t>Zawartość</w:t>
            </w:r>
          </w:p>
        </w:tc>
        <w:tc>
          <w:tcPr>
            <w:tcW w:w="2883"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1.</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Rok referencyjny</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2.</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Województwo</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podkarpackie</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3.</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Kod strefy</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PL1802</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4.</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Kod programu ochrony powietrza</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PL1802PM10dPM2,5aBaPa_2018</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5.</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Adres strony internetowej, pod którym znajduje się sprawozdanie okresowe z realizacji programu ochrony powietrza</w:t>
            </w:r>
          </w:p>
        </w:tc>
        <w:tc>
          <w:tcPr>
            <w:tcW w:w="2883" w:type="pct"/>
            <w:shd w:val="clear" w:color="auto" w:fill="FFFFFF"/>
          </w:tcPr>
          <w:p w:rsidR="001816BC" w:rsidRPr="001816BC" w:rsidRDefault="002575C5" w:rsidP="001816BC">
            <w:pPr>
              <w:rPr>
                <w:rFonts w:ascii="Arial" w:eastAsia="Arial" w:hAnsi="Arial" w:cs="Arial"/>
                <w:sz w:val="20"/>
                <w:szCs w:val="20"/>
                <w:lang w:val="en-US" w:eastAsia="pl-PL"/>
              </w:rPr>
            </w:pPr>
            <w:hyperlink r:id="rId5" w:tooltip="link do zewnetrznej strony otwiera sie w oddzielnym oknie" w:history="1">
              <w:r w:rsidR="001816BC" w:rsidRPr="001816BC">
                <w:rPr>
                  <w:rFonts w:ascii="Arial" w:eastAsia="Arial" w:hAnsi="Arial" w:cs="Arial"/>
                  <w:color w:val="0000FF"/>
                  <w:sz w:val="20"/>
                  <w:szCs w:val="20"/>
                  <w:u w:val="single"/>
                  <w:lang w:val="en-US" w:eastAsia="pl-PL"/>
                </w:rPr>
                <w:t>https://bip.podkarpackie.pl/index.php/samorzad-wojewodztwa/informacja-o-srodowisku/ochrona-powietrza</w:t>
              </w:r>
            </w:hyperlink>
            <w:r w:rsidR="001816BC" w:rsidRPr="001816BC">
              <w:rPr>
                <w:rFonts w:ascii="Arial" w:eastAsia="Arial" w:hAnsi="Arial" w:cs="Arial"/>
                <w:sz w:val="20"/>
                <w:szCs w:val="20"/>
                <w:lang w:val="en-US" w:eastAsia="pl-PL"/>
              </w:rPr>
              <w:t xml:space="preserve"> </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6.</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Nazwa urzędu marszałkowskiego/urzędu miasta/urzędu gminy/starostwa powiatowego</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Urząd Marszałkowski Województwa Podkarpackiego</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7.</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Adres pocztowy urzędu marszałkowskiego/urzędu miasta/urzędu gminy/starostwa powiatowego</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al. Łukasza Cieplińskiego 4</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35-010 Rzeszów</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8.</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Imię/imiona i nazwisko/nazwiska pracownika/pracowników urzędu marszałkowskiego/urzędu miasta/urzędu gminy/starostwa powiatowego odpowiedzialnego/odpowiedzialnych za przygotowanie danych</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Małgorzata Orłowska</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Anna Pleskacz</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Grażyna Szafran-Ciach</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9.</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Służbowy telefon pracownika/pracowników urzędu marszałkowskiego/urzędu miasta/urzędu gminy/starostwa powiatowego odpowiedzialnego/odpowiedzialnych za przygotowanie danych</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+48 177433152</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+48 177433069</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+48 177433127</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10.</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Służbowy adres poczty elektronicznej pracownika/pracowników urzędu marszałkowskiego/urzędu miasta/urzędu gminy/starostwa powiatowego odpowiedzialnego/odpowiedzialnych za przygotowanie danych</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m.orlowska@podkarpackie.pl</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a.pleskacz@podkarpackie.pl</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g.szafran@podkarpackie.pl</w:t>
            </w:r>
          </w:p>
        </w:tc>
      </w:tr>
      <w:tr w:rsidR="001816BC" w:rsidRPr="001816BC" w:rsidTr="00366B15">
        <w:tc>
          <w:tcPr>
            <w:tcW w:w="166"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11.</w:t>
            </w:r>
          </w:p>
        </w:tc>
        <w:tc>
          <w:tcPr>
            <w:tcW w:w="1951" w:type="pct"/>
            <w:shd w:val="clear" w:color="auto" w:fill="CCCCCC"/>
          </w:tcPr>
          <w:p w:rsidR="001816BC" w:rsidRPr="001816BC" w:rsidRDefault="001816BC" w:rsidP="002575C5">
            <w:pPr>
              <w:pStyle w:val="Nagwek3"/>
              <w:rPr>
                <w:rFonts w:eastAsia="Arial" w:cs="Arial"/>
                <w:szCs w:val="20"/>
                <w:lang w:val="en-US" w:eastAsia="pl-PL"/>
              </w:rPr>
            </w:pPr>
            <w:r w:rsidRPr="001816BC">
              <w:rPr>
                <w:rFonts w:eastAsia="Verdana"/>
                <w:shd w:val="clear" w:color="auto" w:fill="CCCCCC"/>
                <w:lang w:val="en-US" w:eastAsia="pl-PL"/>
              </w:rPr>
              <w:t>Uwagi</w:t>
            </w:r>
          </w:p>
        </w:tc>
        <w:tc>
          <w:tcPr>
            <w:tcW w:w="2883" w:type="pct"/>
            <w:shd w:val="clear" w:color="auto" w:fill="FFFFFF"/>
          </w:tcPr>
          <w:p w:rsidR="001816BC" w:rsidRPr="001816BC" w:rsidRDefault="001816BC" w:rsidP="001816BC">
            <w:pPr>
              <w:rPr>
                <w:rFonts w:ascii="Arial" w:eastAsia="Arial" w:hAnsi="Arial" w:cs="Arial"/>
                <w:sz w:val="20"/>
                <w:szCs w:val="20"/>
                <w:lang w:val="en-US" w:eastAsia="pl-PL"/>
              </w:rPr>
            </w:pPr>
          </w:p>
        </w:tc>
      </w:tr>
    </w:tbl>
    <w:p w:rsidR="001816BC" w:rsidRPr="001816BC" w:rsidRDefault="001816BC" w:rsidP="001816BC">
      <w:pPr>
        <w:rPr>
          <w:lang w:val="en-US" w:eastAsia="pl-PL"/>
        </w:rPr>
      </w:pPr>
      <w:r>
        <w:rPr>
          <w:lang w:val="en-US" w:eastAsia="pl-PL"/>
        </w:rPr>
        <w:br w:type="page"/>
      </w:r>
    </w:p>
    <w:tbl>
      <w:tblPr>
        <w:tblW w:w="4994" w:type="pct"/>
        <w:tblInd w:w="10" w:type="dxa"/>
        <w:tblBorders>
          <w:top w:val="single" w:sz="4" w:space="0" w:color="555555"/>
          <w:left w:val="single" w:sz="4" w:space="0" w:color="555555"/>
          <w:bottom w:val="single" w:sz="4" w:space="0" w:color="555555"/>
          <w:right w:val="single" w:sz="4" w:space="0" w:color="555555"/>
          <w:insideH w:val="single" w:sz="4" w:space="0" w:color="555555"/>
          <w:insideV w:val="single" w:sz="4" w:space="0" w:color="555555"/>
        </w:tblBorders>
        <w:tblCellMar>
          <w:left w:w="10" w:type="dxa"/>
          <w:right w:w="10" w:type="dxa"/>
        </w:tblCellMar>
        <w:tblLook w:val="0000" w:firstRow="0" w:lastRow="0" w:firstColumn="0" w:lastColumn="0" w:noHBand="0" w:noVBand="0"/>
        <w:tblCaption w:val="Zestawienie działań naprawczych"/>
        <w:tblDescription w:val="Tabela nr 2 zawiera zestawienie działań naprawczych zrealizowanych w ramach realizacji Programu ochrony powietrza dla strefy podkarpackiej"/>
      </w:tblPr>
      <w:tblGrid>
        <w:gridCol w:w="299"/>
        <w:gridCol w:w="1671"/>
        <w:gridCol w:w="7034"/>
      </w:tblGrid>
      <w:tr w:rsidR="001816BC" w:rsidRPr="001816BC" w:rsidTr="002575C5">
        <w:trPr>
          <w:tblHeader/>
        </w:trPr>
        <w:tc>
          <w:tcPr>
            <w:tcW w:w="5000" w:type="pct"/>
            <w:gridSpan w:val="3"/>
            <w:shd w:val="clear" w:color="auto" w:fill="AAAAAA"/>
          </w:tcPr>
          <w:p w:rsidR="001816BC" w:rsidRPr="001816BC" w:rsidRDefault="001816BC" w:rsidP="002575C5">
            <w:pPr>
              <w:pStyle w:val="Nagwek2"/>
              <w:rPr>
                <w:rFonts w:eastAsia="Arial" w:cs="Arial"/>
                <w:szCs w:val="20"/>
                <w:lang w:val="en-US" w:eastAsia="pl-PL"/>
              </w:rPr>
            </w:pPr>
            <w:r w:rsidRPr="001816BC">
              <w:rPr>
                <w:rFonts w:eastAsia="Verdana"/>
                <w:shd w:val="clear" w:color="auto" w:fill="AAAAAA"/>
                <w:lang w:val="en-US" w:eastAsia="pl-PL"/>
              </w:rPr>
              <w:lastRenderedPageBreak/>
              <w:t>II. Zestawienie działań naprawczych</w:t>
            </w:r>
          </w:p>
        </w:tc>
      </w:tr>
      <w:tr w:rsidR="001816BC" w:rsidRPr="001816BC" w:rsidTr="002575C5">
        <w:trPr>
          <w:tblHeader/>
        </w:trPr>
        <w:tc>
          <w:tcPr>
            <w:tcW w:w="16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Lp.</w:t>
            </w:r>
          </w:p>
        </w:tc>
        <w:tc>
          <w:tcPr>
            <w:tcW w:w="928"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Zawartość</w:t>
            </w:r>
          </w:p>
        </w:tc>
        <w:tc>
          <w:tcPr>
            <w:tcW w:w="390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 (działanie naprawcze nr 1)</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działania naprawczego</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PsOeUa</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Tytuł</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Ograniczanie emisji zanieczyszczeń do powietrza z ogrzewania indywidualnego</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sytuacji przekroczenia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Opis</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Podstawowe działanie zmierzające do obniżenia stężeń zanieczyszczeń na terenie strefy podkarpackiej przez zmianę sposobu ogrzewania w lokalach ogrzewanych indywidualnie niskosprawnymi kotłami lub piecami na paliwo stałe. Likwidacja ogrzewania indywidualnego wykorzystującego paliwo stałe i zastąpienia go ogrzewaniem bezemisyjnym lub niskoemisyjnym.</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Nazwa i kod strefy</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strefa podkarpacka PL1802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6.</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Obszar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gmina wiejska Adamówka, gmina wiejska Baligród, gmina wiejska Besko, gmina wiejska Białobrzegi, gmina wiejska Bircza, gmina wiejska Bojanów, gmina wiejska Borowa, gmina wiejska Brzyska, gmina wiejska Bukowsko,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wiejska Jawornik Polski, gmina miejsko-wiejska Jedlicze, gmina wiejska Jeżowe, gmina wiejska Jodłowa, gmina wiejska Kamień, gmina wiejska Komańcza, gmina wiejska Korczyna, gmina wiejska Krasiczyn, gmina wiejska Krasne, gmina wiejska Krempna, gmina wiejska Krościenko Wyżne, gmina wiejska Krzeszów, gmina wiejska Krzywcza, gmina wiejska Kuryłówka, gmina wiejska Laszki, gmina wiejska Leżajsk, gmina wiejska Lubaczów, gmina wiejska Lubenia, gmina wiejska Lutowiska,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Orły, gmina wiejska Osiek Jasielski, gmina wiejska Ostrów, gmina wiejska Padew Narodowa, gmina wiejska Pawłosiów, gmina wiejska Przemyśl, gmina wiejska Przeworsk, gmina wiejska Pysznica, gmina wiejska Radomyśl nad Sanem, gmina wiejska Radymno, gmina wiejska Rakszawa, gmina wiejska Raniżów, gmina wiejska Rokietnica, gmina wiejska Roźwienica, gmina wiejska Sanok, gmina wiejska Skołyszyn, gmina wiejska Solina, gmina wiejska Stary Dzików, gmina wiejska Stubno, gmina wiejska Świlcza,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Przeworsk, gmina miejska Radymno, gmina miejska Sanok, gmina miejska Stalowa Wola, gmina miejska Tarnobrzeg, gmina miejska Jasło, gmina miejska Leżajsk, gmina miejsko-wiejska Radomyśl Wielki, gmina miejsko-wiejska Błażowa, gmina miejsko-wiejska Boguchwała, gmina miejsko-wiejska 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gmina miejsko-wiejska Przecław, gmina miejska </w:t>
            </w:r>
            <w:r w:rsidRPr="001816BC">
              <w:rPr>
                <w:rFonts w:ascii="Arial" w:eastAsia="Verdana" w:hAnsi="Arial" w:cs="Arial"/>
                <w:sz w:val="20"/>
                <w:szCs w:val="20"/>
                <w:shd w:val="clear" w:color="auto" w:fill="FFFFFF"/>
                <w:lang w:val="en-US" w:eastAsia="pl-PL"/>
              </w:rPr>
              <w:lastRenderedPageBreak/>
              <w:t>Przemyśl, gmina miejsko-wiejska Ropczyce, gmina miejsko-wiejska Rymanów, gmina miejsko-wiejska Sędziszów Małopolski, gmina miejsko-wiejska Strzyżów, gmina miejsko-wiejska Tyczyn, gmina miejsko-wiejska Ustrzyki Dolne, gmina miejsko-wiejska Zaklików</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7.</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Termin zastosowania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8.</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Stan zaawansowania realizacji działania naprawczego w odniesieniu do wartości zaplanowanej do wykonania w danym roku sprawozdawczym</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30,90%</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9.</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Skala czasowa osiągnięcia redukcji stężenia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C: długoterminowy (4-6 lat)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10.</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Kategoria źródeł emisji, której dotyczy działanie naprawcze</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D: źródła związane z handlem i mieszkalnictwem</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Efekt rzeczowy działania naprawczego obliczony (oszacowany) na podstawie wskaźnika(-ków) monitorowania postępu realizacji działania naprawczego w ciągu roku realizacji programu ochrony powietrza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Liczba wymienionych nieefektywnych źródeł ciepła, wraz z podaniem zmiany sposobu ogrzewania na:</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Przyłącze do sieci ciepłowniczej: </w:t>
            </w:r>
            <w:r w:rsidRPr="001816BC">
              <w:rPr>
                <w:rFonts w:ascii="Arial" w:eastAsia="Verdana" w:hAnsi="Arial" w:cs="Arial"/>
                <w:b/>
                <w:bCs/>
                <w:sz w:val="20"/>
                <w:szCs w:val="20"/>
                <w:shd w:val="clear" w:color="auto" w:fill="FFFFFF"/>
                <w:lang w:val="en-US" w:eastAsia="pl-PL"/>
              </w:rPr>
              <w:t>83</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Przyłącze do sieci gazowej: </w:t>
            </w:r>
            <w:r w:rsidRPr="001816BC">
              <w:rPr>
                <w:rFonts w:ascii="Arial" w:eastAsia="Verdana" w:hAnsi="Arial" w:cs="Arial"/>
                <w:b/>
                <w:bCs/>
                <w:sz w:val="20"/>
                <w:szCs w:val="20"/>
                <w:shd w:val="clear" w:color="auto" w:fill="FFFFFF"/>
                <w:lang w:val="en-US" w:eastAsia="pl-PL"/>
              </w:rPr>
              <w:t>14426</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Odnawialne źródła energii: </w:t>
            </w:r>
            <w:r w:rsidRPr="001816BC">
              <w:rPr>
                <w:rFonts w:ascii="Arial" w:eastAsia="Verdana" w:hAnsi="Arial" w:cs="Arial"/>
                <w:b/>
                <w:bCs/>
                <w:sz w:val="20"/>
                <w:szCs w:val="20"/>
                <w:shd w:val="clear" w:color="auto" w:fill="FFFFFF"/>
                <w:lang w:val="en-US" w:eastAsia="pl-PL"/>
              </w:rPr>
              <w:t>2213</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Ogrzewanie elektryczne: </w:t>
            </w:r>
            <w:r w:rsidRPr="001816BC">
              <w:rPr>
                <w:rFonts w:ascii="Arial" w:eastAsia="Verdana" w:hAnsi="Arial" w:cs="Arial"/>
                <w:b/>
                <w:bCs/>
                <w:sz w:val="20"/>
                <w:szCs w:val="20"/>
                <w:shd w:val="clear" w:color="auto" w:fill="FFFFFF"/>
                <w:lang w:val="en-US" w:eastAsia="pl-PL"/>
              </w:rPr>
              <w:t>315</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Ogrzewanie olejowe: </w:t>
            </w:r>
            <w:r w:rsidRPr="001816BC">
              <w:rPr>
                <w:rFonts w:ascii="Arial" w:eastAsia="Verdana" w:hAnsi="Arial" w:cs="Arial"/>
                <w:b/>
                <w:bCs/>
                <w:sz w:val="20"/>
                <w:szCs w:val="20"/>
                <w:shd w:val="clear" w:color="auto" w:fill="FFFFFF"/>
                <w:lang w:val="en-US" w:eastAsia="pl-PL"/>
              </w:rPr>
              <w:t>56</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Kotły węglowe kl. 5 lub spełniające wymogi Ekoprojektu: </w:t>
            </w:r>
            <w:r w:rsidRPr="001816BC">
              <w:rPr>
                <w:rFonts w:ascii="Arial" w:eastAsia="Verdana" w:hAnsi="Arial" w:cs="Arial"/>
                <w:b/>
                <w:bCs/>
                <w:sz w:val="20"/>
                <w:szCs w:val="20"/>
                <w:shd w:val="clear" w:color="auto" w:fill="FFFFFF"/>
                <w:lang w:val="en-US" w:eastAsia="pl-PL"/>
              </w:rPr>
              <w:t>375</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Kotły opalane biomasą kl. 5 lub spełniające wymogi Ekoprojektu: </w:t>
            </w:r>
            <w:r w:rsidRPr="001816BC">
              <w:rPr>
                <w:rFonts w:ascii="Arial" w:eastAsia="Verdana" w:hAnsi="Arial" w:cs="Arial"/>
                <w:b/>
                <w:bCs/>
                <w:sz w:val="20"/>
                <w:szCs w:val="20"/>
                <w:shd w:val="clear" w:color="auto" w:fill="FFFFFF"/>
                <w:lang w:val="en-US" w:eastAsia="pl-PL"/>
              </w:rPr>
              <w:t>601</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18069</w:t>
            </w:r>
            <w:r w:rsidRPr="001816BC">
              <w:rPr>
                <w:rFonts w:ascii="Arial" w:eastAsia="Verdana" w:hAnsi="Arial" w:cs="Arial"/>
                <w:sz w:val="20"/>
                <w:szCs w:val="20"/>
                <w:shd w:val="clear" w:color="auto" w:fill="FFFFFF"/>
                <w:lang w:val="en-US" w:eastAsia="pl-PL"/>
              </w:rPr>
              <w:t xml:space="preserve"> szt.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Redukcja wielkości emisji poszczególnych substancji w powietrzu osiągnięta w wyniku realizacji działania naprawczego w ciągu roku realizacji programu ochrony powietrza (Mg/rok)</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benzo(a)piren = 0,435 Mg</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pył zawieszony PM10 = 1237,979 Mg</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pył zawieszony PM2,5 = 975,314 Mg</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13.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PLN)</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Regionalny Program Operacyjny Województwa Podkarpackiego 14 359 679,75</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Program „Czyste Powietrze” 121 196 766,97</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Program „Ciepłownictwo powiatowe” 378 710,10</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Program „Mój Prąd” 353 000,00</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Programy lokalne (gminne) wspierając</w:t>
            </w:r>
            <w:r>
              <w:rPr>
                <w:rFonts w:ascii="Arial" w:eastAsia="Verdana" w:hAnsi="Arial" w:cs="Arial"/>
                <w:sz w:val="20"/>
                <w:szCs w:val="20"/>
                <w:shd w:val="clear" w:color="auto" w:fill="FFFFFF"/>
                <w:lang w:val="en-US" w:eastAsia="pl-PL"/>
              </w:rPr>
              <w:t>e zmianę sposobu ogrzewania 335 </w:t>
            </w:r>
            <w:r w:rsidRPr="001816BC">
              <w:rPr>
                <w:rFonts w:ascii="Arial" w:eastAsia="Verdana" w:hAnsi="Arial" w:cs="Arial"/>
                <w:sz w:val="20"/>
                <w:szCs w:val="20"/>
                <w:shd w:val="clear" w:color="auto" w:fill="FFFFFF"/>
                <w:lang w:val="en-US" w:eastAsia="pl-PL"/>
              </w:rPr>
              <w:t>088,85</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Inne źródła finansowania (w uwagach podać jakie) 2 710 396,62</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139 333 642,29</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EUR)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29 761 335,05 przyjęto kurs średni </w:t>
            </w:r>
            <w:r>
              <w:rPr>
                <w:rFonts w:ascii="Arial" w:eastAsia="Verdana" w:hAnsi="Arial" w:cs="Arial"/>
                <w:sz w:val="20"/>
                <w:szCs w:val="20"/>
                <w:shd w:val="clear" w:color="auto" w:fill="FFFFFF"/>
                <w:lang w:val="en-US" w:eastAsia="pl-PL"/>
              </w:rPr>
              <w:t>euro (EUR) z dnia 23.03.2023 nr </w:t>
            </w:r>
            <w:r w:rsidRPr="001816BC">
              <w:rPr>
                <w:rFonts w:ascii="Arial" w:eastAsia="Verdana" w:hAnsi="Arial" w:cs="Arial"/>
                <w:sz w:val="20"/>
                <w:szCs w:val="20"/>
                <w:shd w:val="clear" w:color="auto" w:fill="FFFFFF"/>
                <w:lang w:val="en-US" w:eastAsia="pl-PL"/>
              </w:rPr>
              <w:t>058/A/NBP/2023 wynoszący 4,6817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Uwagi</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p>
        </w:tc>
      </w:tr>
      <w:tr w:rsidR="001816BC" w:rsidRPr="001816BC" w:rsidTr="002575C5">
        <w:tc>
          <w:tcPr>
            <w:tcW w:w="166"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Lp.</w:t>
            </w:r>
          </w:p>
        </w:tc>
        <w:tc>
          <w:tcPr>
            <w:tcW w:w="928"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Zawartość</w:t>
            </w:r>
          </w:p>
        </w:tc>
        <w:tc>
          <w:tcPr>
            <w:tcW w:w="390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 (działanie naprawcze nr 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działania naprawczego</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PsDzKo</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Tytuł</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Prowadzenie działań kontrolnych</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sytuacji przekroczenia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Opis</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Kontrola jest działaniem niezbędnym, polegającym na weryfikacji stopnia wdrażania uchwały antysmogowej, a także przestrzegania zakazów wprowadzonych tą uchwałą, wdrażania działań naprawczych z Programu oraz przestrzegania zakazu spalania odpadów.</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Nazwa i kod strefy</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strefa podkarpacka PL1802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6.</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Obszar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gmina wiejska Baligród, gmina wiejska Besko, gmina wiejska Białobrzegi, gmina wiejska Bircza, gmina wiejska Bojanów, gmina wiejska Borowa, gmina wiejska Brzyska,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miejsko-wiejska Jedlicze, gmina wiejska Jeżowe, gmina wiejska Jodłowa, gmina wiejska Kamień, gmina wiejska Komańcza, gmina wiejska Korczyna, gmina wiejska Krasiczyn, gmina wiejska Krasne, gmina wiejska Krempna, gmina wiejska Krościenko Wyżne, gmina wiejska Krzeszów, gmina wiejska Krzywcza, gmina wiejska Kuryłówka, gmina wiejska Laszki, gmina wiejska Leżajsk, gmina wiejska Lubaczów, gmina wiejska Lubenia, gmina wiejska Lutowiska,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Osiek Jasielski, gmina wiejska Ostrów, gmina wiejska Padew Narodowa, gmina wiejska Pawłosiów, gmina wiejska Przemyśl, gmina wiejska Przeworsk, gmina wiejska Pysznica, gmina wiejska Radomyśl nad Sanem, gmina wiejska Radymno, gmina wiejska Rakszawa, gmina wiejska Raniżów, gmina wiejska Rokietnica, gmina wiejska Roźwienica, gmina wiejska Sanok, gmina wiejska Skołyszyn, gmina wiejska Stary Dzików, gmina wiejska Stubno, gmina wiejska Świlcza,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Radymno, gmina miejska Sanok, gmina miejska Stalowa Wola, gmina miejska Tarnobrzeg, gmina miejska Jasło, gmina miejska Leżajsk, gmina miejsko-wiejska Radomyśl Wielki, gmina miejsko-wiejska Błażowa, gmina miejsko-wiejska Boguchwała, gmina miejsko-wiejska 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gmina miejsko-wiejska Przecław, gmina miejska Przemyśl, gmina miejsko-wiejska Ropczyce, gmina miejsko-wiejska Rymanów, gmina miejsko-wiejska Sędziszów </w:t>
            </w:r>
            <w:r w:rsidRPr="001816BC">
              <w:rPr>
                <w:rFonts w:ascii="Arial" w:eastAsia="Verdana" w:hAnsi="Arial" w:cs="Arial"/>
                <w:sz w:val="20"/>
                <w:szCs w:val="20"/>
                <w:shd w:val="clear" w:color="auto" w:fill="FFFFFF"/>
                <w:lang w:val="en-US" w:eastAsia="pl-PL"/>
              </w:rPr>
              <w:lastRenderedPageBreak/>
              <w:t>Małopolski, gmina miejsko-wiejska Strzyżów, gmina miejsko-wiejska Tyczyn, gmina miejsko-wiejska Ustrzyki Dolne, gmina miejsko-wiejska Zaklików</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7.</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Termin zastosowania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8.</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Stan zaawansowania realizacji działania naprawczego w odniesieniu do wartości zaplanowanej do wykonania w danym roku sprawozdawczym</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77,94%</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9.</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Skala czasowa osiągnięcia redukcji stężenia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C: długoterminowy (4-6 lat)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10.</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Kategoria źródeł emisji, której dotyczy działanie naprawcze</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D: źródła związane z handlem i mieszkalnictwem</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Efekt rzeczowy działania naprawczego obliczony (oszacowany) na podstawie wskaźnika(-ków) monitorowania postępu realizacji działania naprawczego w ciągu roku realizacji programu ochrony powietrza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Liczba przeprowadzonych kontroli wraz z podaniem liczby wystawionych mandatów, udzielonych pouczeń oraz spraw skierowanych do sądu:</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liczba kontroli: </w:t>
            </w:r>
            <w:r w:rsidRPr="001816BC">
              <w:rPr>
                <w:rFonts w:ascii="Arial" w:eastAsia="Verdana" w:hAnsi="Arial" w:cs="Arial"/>
                <w:b/>
                <w:bCs/>
                <w:sz w:val="20"/>
                <w:szCs w:val="20"/>
                <w:shd w:val="clear" w:color="auto" w:fill="FFFFFF"/>
                <w:lang w:val="en-US" w:eastAsia="pl-PL"/>
              </w:rPr>
              <w:t>6135</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liczba mandatów: </w:t>
            </w:r>
            <w:r w:rsidRPr="001816BC">
              <w:rPr>
                <w:rFonts w:ascii="Arial" w:eastAsia="Verdana" w:hAnsi="Arial" w:cs="Arial"/>
                <w:b/>
                <w:bCs/>
                <w:sz w:val="20"/>
                <w:szCs w:val="20"/>
                <w:shd w:val="clear" w:color="auto" w:fill="FFFFFF"/>
                <w:lang w:val="en-US" w:eastAsia="pl-PL"/>
              </w:rPr>
              <w:t>70</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liczba pouczeń: </w:t>
            </w:r>
            <w:r w:rsidRPr="001816BC">
              <w:rPr>
                <w:rFonts w:ascii="Arial" w:eastAsia="Verdana" w:hAnsi="Arial" w:cs="Arial"/>
                <w:b/>
                <w:bCs/>
                <w:sz w:val="20"/>
                <w:szCs w:val="20"/>
                <w:shd w:val="clear" w:color="auto" w:fill="FFFFFF"/>
                <w:lang w:val="en-US" w:eastAsia="pl-PL"/>
              </w:rPr>
              <w:t>1184</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 liczba spraw: </w:t>
            </w:r>
            <w:r w:rsidRPr="001816BC">
              <w:rPr>
                <w:rFonts w:ascii="Arial" w:eastAsia="Verdana" w:hAnsi="Arial" w:cs="Arial"/>
                <w:b/>
                <w:bCs/>
                <w:sz w:val="20"/>
                <w:szCs w:val="20"/>
                <w:shd w:val="clear" w:color="auto" w:fill="FFFFFF"/>
                <w:lang w:val="en-US" w:eastAsia="pl-PL"/>
              </w:rPr>
              <w:t>919</w:t>
            </w:r>
            <w:r w:rsidRPr="001816BC">
              <w:rPr>
                <w:rFonts w:ascii="Arial" w:eastAsia="Verdana" w:hAnsi="Arial" w:cs="Arial"/>
                <w:sz w:val="20"/>
                <w:szCs w:val="20"/>
                <w:shd w:val="clear" w:color="auto" w:fill="FFFFFF"/>
                <w:lang w:val="en-US" w:eastAsia="pl-PL"/>
              </w:rPr>
              <w:t xml:space="preserve"> szt.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Redukcja wielkości emisji poszczególnych substancji w powietrzu osiągnięta w wyniku realizacji działania naprawczego w ciągu roku realizacji programu ochrony powietrza (Mg/rok)</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PLN)</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Budżet gminy 126 943,37</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Wojewódzki Fundusz Ochrony Środowiska i Gospodarki Wodnej 1 365 868,35</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1 492 811,72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14.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EUR)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318 861,04 przyjęto kurs średni euro (EUR) z dnia 23.03.2023 nr 058/A/NBP/2023 wynoszący 4,6817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Uwagi</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p>
        </w:tc>
      </w:tr>
      <w:tr w:rsidR="001816BC" w:rsidRPr="001816BC" w:rsidTr="002575C5">
        <w:tc>
          <w:tcPr>
            <w:tcW w:w="166"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Lp.</w:t>
            </w:r>
          </w:p>
        </w:tc>
        <w:tc>
          <w:tcPr>
            <w:tcW w:w="928"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Zawartość</w:t>
            </w:r>
          </w:p>
        </w:tc>
        <w:tc>
          <w:tcPr>
            <w:tcW w:w="390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 (działanie naprawcze nr 3)</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działania naprawczego</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PsWuAn</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Tytuł</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Wspomaganie samorządów gminnych i mieszkańców gmin we wdrażaniu uchwały antysmogowej</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sytuacji przekroczenia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Opis</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Samorząd Województwa powinien stworzyć w Urzędzie Marszałkowskim stanowisko Koordynatora ds. Jakości Powietrza. Działanie powinno polegać na wspomaganiu przez Koordynatora samorządów gminnych województwa podkarpackiego we wdrażaniu uchwały antysmogowej.</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Nazwa i kod strefy</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strefa podkarpacka PL1802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6.</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Obszar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województwo Podkarpackie</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7.</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Termin zastosowania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8.</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Stan zaawansowania realizacji działania naprawczego w odniesieniu do wartości zaplanowanej do wykonania w danym roku sprawozdawczym</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100,00%</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9.</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Skala czasowa osiągnięcia redukcji stężenia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C: długoterminowy (4-6 lat)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10.</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Kategoria źródeł emisji, której dotyczy działanie naprawcze</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D: źródła związane z handlem i mieszkalnictwem</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11.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Efekt rzeczowy działania naprawczego obliczony (oszacowany) na podstawie wskaźnika(-ków) monitorowania postępu realizacji działania naprawczego w ciągu roku realizacji programu ochrony powietrza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Liczba gmin dla których zorganizowano spotkanie: </w:t>
            </w:r>
            <w:r w:rsidRPr="001816BC">
              <w:rPr>
                <w:rFonts w:ascii="Arial" w:eastAsia="Verdana" w:hAnsi="Arial" w:cs="Arial"/>
                <w:b/>
                <w:bCs/>
                <w:sz w:val="20"/>
                <w:szCs w:val="20"/>
                <w:shd w:val="clear" w:color="auto" w:fill="FFFFFF"/>
                <w:lang w:val="en-US" w:eastAsia="pl-PL"/>
              </w:rPr>
              <w:t>160</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Istnienie ogólnodostępnej platformy internetowej zawierającej bazę wiedzy na temat uchwały antysmogowej i jakości powietrza: </w:t>
            </w:r>
            <w:r w:rsidRPr="001816BC">
              <w:rPr>
                <w:rFonts w:ascii="Arial" w:eastAsia="Verdana" w:hAnsi="Arial" w:cs="Arial"/>
                <w:b/>
                <w:bCs/>
                <w:sz w:val="20"/>
                <w:szCs w:val="20"/>
                <w:shd w:val="clear" w:color="auto" w:fill="FFFFFF"/>
                <w:lang w:val="en-US" w:eastAsia="pl-PL"/>
              </w:rPr>
              <w:t>tak</w:t>
            </w:r>
            <w:r w:rsidRPr="001816BC">
              <w:rPr>
                <w:rFonts w:ascii="Arial" w:eastAsia="Verdana" w:hAnsi="Arial" w:cs="Arial"/>
                <w:sz w:val="20"/>
                <w:szCs w:val="20"/>
                <w:shd w:val="clear" w:color="auto" w:fill="FFFFFF"/>
                <w:lang w:val="en-US" w:eastAsia="pl-PL"/>
              </w:rPr>
              <w:t xml:space="preserve"> </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Redukcja wielkości emisji poszczególnych substancji w powietrzu osiągnięta w wyniku realizacji działania naprawczego w ciągu roku realizacji programu ochrony powietrza (Mg/rok)</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PLN)</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Budżet województwa 104 431,00</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104 431,00</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EUR)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22 306,21 przyjęto kurs średni </w:t>
            </w:r>
            <w:r>
              <w:rPr>
                <w:rFonts w:ascii="Arial" w:eastAsia="Verdana" w:hAnsi="Arial" w:cs="Arial"/>
                <w:sz w:val="20"/>
                <w:szCs w:val="20"/>
                <w:shd w:val="clear" w:color="auto" w:fill="FFFFFF"/>
                <w:lang w:val="en-US" w:eastAsia="pl-PL"/>
              </w:rPr>
              <w:t>euro (EUR) z dnia 23.03.2023 nr </w:t>
            </w:r>
            <w:r w:rsidRPr="001816BC">
              <w:rPr>
                <w:rFonts w:ascii="Arial" w:eastAsia="Verdana" w:hAnsi="Arial" w:cs="Arial"/>
                <w:sz w:val="20"/>
                <w:szCs w:val="20"/>
                <w:shd w:val="clear" w:color="auto" w:fill="FFFFFF"/>
                <w:lang w:val="en-US" w:eastAsia="pl-PL"/>
              </w:rPr>
              <w:t>058/A/NBP/2023 wynoszący 4,6817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Uwagi</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p>
        </w:tc>
      </w:tr>
      <w:tr w:rsidR="001816BC" w:rsidRPr="001816BC" w:rsidTr="002575C5">
        <w:tc>
          <w:tcPr>
            <w:tcW w:w="166"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Lp.</w:t>
            </w:r>
          </w:p>
        </w:tc>
        <w:tc>
          <w:tcPr>
            <w:tcW w:w="928"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Zawartość</w:t>
            </w:r>
          </w:p>
        </w:tc>
        <w:tc>
          <w:tcPr>
            <w:tcW w:w="390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 (działanie naprawcze nr 4)</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działania naprawczego</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PsSyWs</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Tytuł</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Stworzenie przez samorząd gminny systemu wsparcia wymiany źródeł ciepła na ekologiczne dla osób fizycznych</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sytuacji przekroczenia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Opis</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System wsparcia dla mieszkańców polegający na:</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wnioskowaniu o  środki finansowe z programów NFOŚiGW oraz innych,</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udzielaniu dotacji,</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prowadzeniu doradztwa,</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wspomaganiu przy wypełnianiu wniosków w ramach programu „Czyste powietrze”,</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koordynacji realizacji innych programów finansowych.</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Nazwa i kod strefy</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strefa podkarpacka PL1802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6.</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Obszar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gmina wiejska Adamówka, gmina wiejska Baligród, gmina wiejska Besko, gmina wiejska Białobrzegi, gmina wiejska Bircza, gmina wiejska Bojanów, gmina wiejska Borowa, gmina wiejska Brzyska, gmina wiejska Bukowsko,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wiejska Jawornik Polski, gmina miejsko-wiejska Jedlicze, gmina wiejska Jeżowe, gmina wiejska Jodłowa, gmina wiejska Kamień, gmina wiejska Komańcza, gmina wiejska Korczyna, gmina wiejska Krasiczyn, gmina wiejska Krasne, gmina wiejska Krościenko Wyżne, gmina wiejska Krzeszów, gmina wiejska Krzywcza, gmina wiejska Kuryłówka, gmina wiejska Laszki, gmina wiejska Leżajsk, gmina wiejska Lubaczów, gmina wiejska Lubenia, gmina wiejska Lutowiska,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Orły, gmina wiejska Osiek Jasielski, gmina wiejska Ostrów, gmina wiejska Padew Narodowa, gmina wiejska Pawłosiów, gmina wiejska Przemyśl, gmina wiejska Przeworsk, gmina wiejska Pysznica, gmina wiejska Radomyśl nad Sanem, gmina wiejska Radymno, gmina wiejska Rakszawa, gmina wiejska Raniżów, gmina wiejska Rokietnica, gmina wiejska Roźwienica, gmina wiejska Sanok, gmina wiejska Skołyszyn, gmina wiejska Solina, gmina wiejska Stary Dzików, gmina wiejska Stubno, gmina wiejska Świlcza,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Przeworsk, gmina miejska Radymno, gmina miejska Sanok, gmina miejska Stalowa Wola, gmina miejska Tarnobrzeg, gmina miejska Jasło, gmina miejska Leżajsk, gmina miejsko-wiejska Radomyśl Wielki, gmina miejsko-wiejska Błażowa, gmina miejsko-wiejska Boguchwała, gmina miejsko-wiejska 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gmina miejsko-wiejska Przecław, gmina miejska Przemyśl, gmina miejsko-wiejska Ropczyce, </w:t>
            </w:r>
            <w:r w:rsidRPr="001816BC">
              <w:rPr>
                <w:rFonts w:ascii="Arial" w:eastAsia="Verdana" w:hAnsi="Arial" w:cs="Arial"/>
                <w:sz w:val="20"/>
                <w:szCs w:val="20"/>
                <w:shd w:val="clear" w:color="auto" w:fill="FFFFFF"/>
                <w:lang w:val="en-US" w:eastAsia="pl-PL"/>
              </w:rPr>
              <w:lastRenderedPageBreak/>
              <w:t>gmina miejsko-wiejska Rymanów, gmina miejsko-wiejska Sędziszów Małopolski, gmina miejsko-wiejska Strzyżów, gmina miejsko-wiejska Tyczyn, gmina miejsko-wiejska Ustrzyki Dolne, gmina miejsko-wiejska Zaklików</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7.</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Termin zastosowania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8.</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Stan zaawansowania realizacji działania naprawczego w odniesieniu do wartości zaplanowanej do wykonania w danym roku sprawozdawczym</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95,22%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9.</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Skala czasowa osiągnięcia redukcji stężenia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C: długoterminowy (4-6 lat)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10.</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Kategoria źródeł emisji, której dotyczy działanie naprawcze</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D: źródła związane z handlem i mieszkalnictwem</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Efekt rzeczowy działania naprawczego obliczony (oszacowany) na podstawie wskaźnika(-ków) monitorowania postępu realizacji działania naprawczego w ciągu roku realizacji programu ochrony powietrza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Liczba programów w jakich gmina pozyskała wsparcie: </w:t>
            </w:r>
            <w:r w:rsidRPr="001816BC">
              <w:rPr>
                <w:rFonts w:ascii="Arial" w:eastAsia="Verdana" w:hAnsi="Arial" w:cs="Arial"/>
                <w:b/>
                <w:bCs/>
                <w:sz w:val="20"/>
                <w:szCs w:val="20"/>
                <w:shd w:val="clear" w:color="auto" w:fill="FFFFFF"/>
                <w:lang w:val="en-US" w:eastAsia="pl-PL"/>
              </w:rPr>
              <w:t>158</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Liczba udzielonych porad i konsultacji mieszkańcom: </w:t>
            </w:r>
            <w:r w:rsidRPr="001816BC">
              <w:rPr>
                <w:rFonts w:ascii="Arial" w:eastAsia="Verdana" w:hAnsi="Arial" w:cs="Arial"/>
                <w:b/>
                <w:bCs/>
                <w:sz w:val="20"/>
                <w:szCs w:val="20"/>
                <w:shd w:val="clear" w:color="auto" w:fill="FFFFFF"/>
                <w:lang w:val="en-US" w:eastAsia="pl-PL"/>
              </w:rPr>
              <w:t>55145</w:t>
            </w:r>
            <w:r w:rsidRPr="001816BC">
              <w:rPr>
                <w:rFonts w:ascii="Arial" w:eastAsia="Verdana" w:hAnsi="Arial" w:cs="Arial"/>
                <w:sz w:val="20"/>
                <w:szCs w:val="20"/>
                <w:shd w:val="clear" w:color="auto" w:fill="FFFFFF"/>
                <w:lang w:val="en-US" w:eastAsia="pl-PL"/>
              </w:rPr>
              <w:t xml:space="preserve"> szt.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Redukcja wielkości emisji poszczególnych substancji w powietrzu osiągnięta w wyniku realizacji działania naprawczego w ciągu roku realizacji programu ochrony powietrza (Mg/rok)</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13.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PLN)</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Program STOP SMOG 1 000,00</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Budżet gminy 401 435,25</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Regionalny Program Operacyjny Województwa Podkarpackiego 11 523 241,86</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Program „Czyste Powietrze” 23 590 981,09</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Wojewódzki Fundusz Ochrony Środowiska i Gospodarki Wodnej 1 517 608,30</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Inne źródła finansowania (w uwagach podać jakie) 8 057 840,20</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45 092 106,70</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EUR)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9 631 566,89 przyjęto kurs średni </w:t>
            </w:r>
            <w:r>
              <w:rPr>
                <w:rFonts w:ascii="Arial" w:eastAsia="Verdana" w:hAnsi="Arial" w:cs="Arial"/>
                <w:sz w:val="20"/>
                <w:szCs w:val="20"/>
                <w:shd w:val="clear" w:color="auto" w:fill="FFFFFF"/>
                <w:lang w:val="en-US" w:eastAsia="pl-PL"/>
              </w:rPr>
              <w:t>euro (EUR) z dnia 23.03.2023 nr </w:t>
            </w:r>
            <w:r w:rsidRPr="001816BC">
              <w:rPr>
                <w:rFonts w:ascii="Arial" w:eastAsia="Verdana" w:hAnsi="Arial" w:cs="Arial"/>
                <w:sz w:val="20"/>
                <w:szCs w:val="20"/>
                <w:shd w:val="clear" w:color="auto" w:fill="FFFFFF"/>
                <w:lang w:val="en-US" w:eastAsia="pl-PL"/>
              </w:rPr>
              <w:t>058/A/NBP/2023 wynoszący 4,6817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Uwagi</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p>
        </w:tc>
      </w:tr>
      <w:tr w:rsidR="001816BC" w:rsidRPr="001816BC" w:rsidTr="002575C5">
        <w:tc>
          <w:tcPr>
            <w:tcW w:w="166"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Lp.</w:t>
            </w:r>
          </w:p>
        </w:tc>
        <w:tc>
          <w:tcPr>
            <w:tcW w:w="928"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Zawartość</w:t>
            </w:r>
          </w:p>
        </w:tc>
        <w:tc>
          <w:tcPr>
            <w:tcW w:w="390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 (działanie naprawcze nr 5)</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działania naprawczego</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PsObZi</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Tytuł</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Zwiększanie udziału zieleni w wybranych miastach strefy podkarpackiej</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sytuacji przekroczenia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Pk18sPkPM10d28 Pk18sPkPM2,5a15 Pk18sPkPM10d02 Pk18sPkPM2,5a03 Pk18sPkPM10d03 Pk18sPkPM10d04 Pk18sPkPM2,5a10 Pk18sPkPM10d11 Pk18sPkPM2,5a25 Pk18sPkPM10d33 Pk18sPkB(a)Pa02 Pk18sPkPM10d12 Pk18sPkPM2,5a14 Pk18sPkPM10d14 Pk18sPkPM10d10 Pk18sPkPM2,5a19 Pk18sPkPM10d09 Pk18sPkPM2,5a07 Pk18sPkPM10d08 Pk18sPkPM2,5a29 Pk18sPkPM2,5a31 Pk18sPkPM10d21 Pk18sPkPM2,5a34 Pk18sPkB(a)Pa03 Pk18sPkB(a)Pa09 Pk18sPkPM10d30 Pk18sPkPM2,5a36 Pk18sPkPM10d23 Pk18sPkPM10d29 Pk18sPkPM10d25 Pk18sPkPM10d13 Pk18sPkPM10d05 Pk18sPkPM2,5a04 Pk18sPkPM10d17 Pk18sPkPM2,5a26 Pk18sPkPM10d22 Pk18sPkPM2,5a11 Pk18sPkPM10d07 Pk18sPkPM10d19 Pk18sPkPM2,5a12 Pk18sPkPM10d24 Pk18sPkPM2,5a17 Pk18sPkPM10d20 Pk18sPkPM2,5a22 Pk18sPkPM10d26 Pk18sPkPM10d32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Opis</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Tworzenie zielonej infrastruktury, funkcyjnych obszarów zielonych, rewitalizacja zieleni oraz wzbogacanie terenów zielonych (zagęszczanie, dosadzenia) w gminie sprzyjających poprawie warunków mikroklimatycznych i powodujących poprawę wymiany cieplnej.</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Nazwa i kod strefy</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strefa podkarpacka PL1802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6.</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Obszar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gmina miejsko-wiejska Nisko, gmina miejska Dynów, gmina miejsko-wiejska Nowa Dęba, gmina miejsko-wiejska Oleszyce, gmina miejsko-wiejska Nowa Sarzyna, gmina miejsko-wiejska Zagórz, gmina miejska Jarosław, gmina miejska Krosno, gmina miejska Łańcut, gmina miejska Przeworsk, gmina miejska Radymno, gmina miejska Sanok, gmina miejska Tarnobrzeg, gmina miejska Leżajsk, gmina miejsko-wiejska Błażowa, gmina miejsko-wiejska Boguchwała, gmina miejsko-wiejska Brzozów, gmina miejska Dębica, gmina miejsko-wiejska Głogów Małopolski, gmina miejsko-wiejska Kolbuszowa, gmina miejska Lubaczów, gmina miejska Mielec, gmina miejska Przemyśl, gmina miejsko-wiejska Sędziszów Małopolski, gmina miejsko-wiejska Strzyżów, gmina miejsko-wiejska Tyczyn, gmina miejsko-wiejska Ustrzyki Dolne</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7.</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Termin zastosowania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8.</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Stan zaawansowania realizacji działania naprawczego w odniesieniu do wartości zaplanowanej do wykonania w danym roku sprawozdawczym</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32,62%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9.</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Skala czasowa osiągnięcia redukcji stężenia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C: długoterminowy (4-6 lat)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10.</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Kategoria źródeł emisji, której dotyczy działanie naprawcze</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A: transport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Efekt rzeczowy działania naprawczego obliczony (oszacowany) na podstawie wskaźnika(-ków) monitorowania postępu realizacji działania naprawczego w ciągu roku realizacji programu ochrony powietrza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Powierzchnia nowo nasadzonej zieleni: </w:t>
            </w:r>
            <w:r w:rsidRPr="001816BC">
              <w:rPr>
                <w:rFonts w:ascii="Arial" w:eastAsia="Verdana" w:hAnsi="Arial" w:cs="Arial"/>
                <w:b/>
                <w:bCs/>
                <w:sz w:val="20"/>
                <w:szCs w:val="20"/>
                <w:shd w:val="clear" w:color="auto" w:fill="FFFFFF"/>
                <w:lang w:val="en-US" w:eastAsia="pl-PL"/>
              </w:rPr>
              <w:t>41,1736</w:t>
            </w:r>
            <w:r w:rsidRPr="001816BC">
              <w:rPr>
                <w:rFonts w:ascii="Arial" w:eastAsia="Verdana" w:hAnsi="Arial" w:cs="Arial"/>
                <w:sz w:val="20"/>
                <w:szCs w:val="20"/>
                <w:shd w:val="clear" w:color="auto" w:fill="FFFFFF"/>
                <w:lang w:val="en-US" w:eastAsia="pl-PL"/>
              </w:rPr>
              <w:t xml:space="preserve"> ha</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Procentowy udział zieleni w ogólnej powierzchni gminy (współczynnik terenów zielonych): </w:t>
            </w:r>
            <w:r w:rsidRPr="001816BC">
              <w:rPr>
                <w:rFonts w:ascii="Arial" w:eastAsia="Verdana" w:hAnsi="Arial" w:cs="Arial"/>
                <w:b/>
                <w:bCs/>
                <w:sz w:val="20"/>
                <w:szCs w:val="20"/>
                <w:shd w:val="clear" w:color="auto" w:fill="FFFFFF"/>
                <w:lang w:val="en-US" w:eastAsia="pl-PL"/>
              </w:rPr>
              <w:t>192,451</w:t>
            </w:r>
            <w:r w:rsidRPr="001816BC">
              <w:rPr>
                <w:rFonts w:ascii="Arial" w:eastAsia="Verdana" w:hAnsi="Arial" w:cs="Arial"/>
                <w:sz w:val="20"/>
                <w:szCs w:val="20"/>
                <w:shd w:val="clear" w:color="auto" w:fill="FFFFFF"/>
                <w:lang w:val="en-US" w:eastAsia="pl-PL"/>
              </w:rPr>
              <w:t xml:space="preserve"> %</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Redukcja wielkości emisji poszczególnych substancji w powietrzu osiągnięta w wyniku realizacji działania naprawczego w ciągu roku realizacji programu ochrony powietrza (Mg/rok)</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pył zawieszony PM10 = 0,823 Mg</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pył zawieszony PM2,5 = 0,412 Mg</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PLN)</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Budżet gminy 2 032 523,53</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Inne źródła finansowania (w uwagach podać jakie) 205 584,92</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2 238 108,45</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14.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EUR)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478 054,65 przyjęto kurs średni </w:t>
            </w:r>
            <w:r>
              <w:rPr>
                <w:rFonts w:ascii="Arial" w:eastAsia="Verdana" w:hAnsi="Arial" w:cs="Arial"/>
                <w:sz w:val="20"/>
                <w:szCs w:val="20"/>
                <w:shd w:val="clear" w:color="auto" w:fill="FFFFFF"/>
                <w:lang w:val="en-US" w:eastAsia="pl-PL"/>
              </w:rPr>
              <w:t>euro (EUR) z dnia 23.03.2023 nr </w:t>
            </w:r>
            <w:r w:rsidRPr="001816BC">
              <w:rPr>
                <w:rFonts w:ascii="Arial" w:eastAsia="Verdana" w:hAnsi="Arial" w:cs="Arial"/>
                <w:sz w:val="20"/>
                <w:szCs w:val="20"/>
                <w:shd w:val="clear" w:color="auto" w:fill="FFFFFF"/>
                <w:lang w:val="en-US" w:eastAsia="pl-PL"/>
              </w:rPr>
              <w:t>058/A/NBP/2023 wynoszący 4,6817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Uwagi</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p>
        </w:tc>
      </w:tr>
      <w:tr w:rsidR="001816BC" w:rsidRPr="001816BC" w:rsidTr="002575C5">
        <w:tc>
          <w:tcPr>
            <w:tcW w:w="166"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Lp.</w:t>
            </w:r>
          </w:p>
        </w:tc>
        <w:tc>
          <w:tcPr>
            <w:tcW w:w="928" w:type="pct"/>
            <w:shd w:val="clear" w:color="auto" w:fill="AAAAAA"/>
          </w:tcPr>
          <w:p w:rsidR="001816BC" w:rsidRPr="001816BC" w:rsidRDefault="001816BC" w:rsidP="002575C5">
            <w:pPr>
              <w:pStyle w:val="Nagwek3"/>
              <w:rPr>
                <w:rFonts w:eastAsia="Arial"/>
                <w:lang w:val="en-US" w:eastAsia="pl-PL"/>
              </w:rPr>
            </w:pPr>
            <w:r w:rsidRPr="001816BC">
              <w:rPr>
                <w:rFonts w:eastAsia="Verdana"/>
                <w:shd w:val="clear" w:color="auto" w:fill="AAAAAA"/>
                <w:lang w:val="en-US" w:eastAsia="pl-PL"/>
              </w:rPr>
              <w:t>Zawartość</w:t>
            </w:r>
          </w:p>
        </w:tc>
        <w:tc>
          <w:tcPr>
            <w:tcW w:w="3906" w:type="pct"/>
            <w:shd w:val="clear" w:color="auto" w:fill="AAAAAA"/>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AAAAAA"/>
                <w:lang w:val="en-US" w:eastAsia="pl-PL"/>
              </w:rPr>
              <w:t>Odpowiedź (działanie naprawcze nr 6)</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działania naprawczego</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PsEdEk</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Tytuł</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Edukacja ekologiczna</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Kod sytuacji przekroczenia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Pk18sPkPM10d21 Pk18sPkPM10d04 Pk18sPkPM10d05 Pk18sPkPM10d08 Pk18sPkPM10d26 Pk18sPkPM10d09 Pk18sPkPM10d15 Pk18sPkPM10d23 Pk18sPkPM10d32 Pk18sPkPM10d18 Pk18sPkPM10d30 Pk18sPkPM10d13 Pk18sPkPM10d22 Pk18sPkPM10d07 Pk18sPkPM10d34 Pk18sPkPM10d28 Pk18sPkPM10d03 Pk18sPkPM10d36 Pk18sPkPM10d19 Pk18sPkPM10d31 Pk18sPkPM10d01 Pk18sPkPM10d12 Pk18sPkPM10d16 Pk18sPkPM10d27 Pk18sPkPM10d35 Pk18sPkPM10d25 Pk18sPkPM10d33 Pk18sPkPM10d17 Pk18sPkPM10d24 Pk18sPkPM10d20 Pk18sPkPM10d02 Pk18sPkPM10d11 Pk18sPkPM10d06 Pk18sPkPM10d29 Pk18sPkPM10d14 Pk18sPkPM10d10 Pk18mRzPM10d01 Pk18sPkPM2,5a34 Pk18sPkPM2,5a10 Pk18sPkPM2,5a29 Pk18sPkPM2,5a31 Pk18sPkPM2,5a04 Pk18sPkPM2,5a35 Pk18sPkPM2,5a27 Pk18sPkPM2,5a09 Pk18sPkPM2,5a23 Pk18sPkPM2,5a18 Pk18sPkPM2,5a21 Pk18sPkPM2,5a07 Pk18sPkPM2,5a16 Pk18sPkPM2,5a20 Pk18sPkPM2,5a30 Pk18sPkPM2,5a08 Pk18sPkPM2,5a24 Pk18sPkPM2,5a33 Pk18sPkPM2,5a28 Pk18sPkPM2,5a36 Pk18sPkPM2,5a06 Pk18sPkPM2,5a11 Pk18sPkPM2,5a12 Pk18sPkPM2,5a15 Pk18sPkPM2,5a02 Pk18sPkPM2,5a14 Pk18sPkPM2,5a01 Pk18sPkPM2,5a32 Pk18sPkPM2,5a26 Pk18sPkPM2,5a17 Pk18sPkPM2,5a22 Pk18sPkPM2,5a03 Pk18sPkPM2,5a25 Pk18sPkPM2,5a13 Pk18sPkPM2,5a19 Pk18sPkPM2,5a05 Pk18mRzPM2,5a01 Pk18sPkB(a)Pa08 Pk18sPkB(a)Pa17 Pk18sPkB(a)Pa18 Pk18sPkB(a)Pa03 Pk18sPkB(a)Pa19 Pk18sPkB(a)Pa20 Pk18sPkB(a)Pa09 Pk18sPkB(a)Pa21 Pk18sPkB(a)Pa04 Pk18sPkB(a)Pa25 Pk18sPkB(a)Pa10 Pk18sPkB(a)Pa11 Pk18sPkB(a)Pa23 Pk18sPkB(a)Pa14 Pk18sPkB(a)Pa02 Pk18sPkB(a)Pa12 Pk18sPkB(a)Pa24 Pk18sPkB(a)Pa05 Pk18sPkB(a)Pa06 Pk18sPkB(a)Pa26 Pk18sPkB(a)Pa13 Pk18sPkB(a)Pa27 Pk18sPkB(a)Pa07 Pk18sPkB(a)Pa16 Pk18sPkB(a)Pa15 Pk18sPkB(a)Pa01 Pk18sPkB(a)Pa22 Pk18mRzB(a)Pa01</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Opis</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Edukacja ekologiczna oznacza koncepcję wychowania, przedmiot nauczania oraz działalność edukacyjno-wychowawczą, system kształtowania postaw i poglądów wobec otaczającego świata opartego na szacunku dla środowiska. Uwrażliwia na problemy i zagrożenia środowiskowe, uświadamia ich przyczyny i skutki, uczy metod ich rozwiązywania oraz odpowiedzialności za środowisko przyrodnicze, a także mobilizuje do czynnego podejmowania działań (osobistych i grupowych) na rzecz ochrony środowiska naturalnego.</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Nazwa i kod strefy</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strefa podkarpacka PL1802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6.</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Obszar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powiat brzozowski, powiat dębicki, powiat jarosławski, powiat jasielski, powiat kolbuszowski, powiat krośnieński, powiat leżajski, powiat lubaczowski, powiat łańcucki, powiat mielecki, powiat niżański, powiat przemyski, powiat przeworski, powiat ropczycko-sędziszowski, powiat rzeszowski, powiat sanocki, powiat stalowowolski, powiat strzyżowski, powiat tarnobrzeski, powiat bieszczadzki, gmina wiejska Adamówka, gmina wiejska Baligród, gmina wiejska Besko, gmina wiejska Białobrzegi, gmina wiejska Bircza, gmina wiejska Bojanów, gmina wiejska Borowa, gmina wiejska Brzyska, gmina wiejska Bukowsko, gmina wiejska Chłopice, gmina wiejska Chmielnik, gmina wiejska Chorkówka, gmina wiejska Cisna, gmina wiejska Cmolas, gmina wiejska Czarna, gmina wiejska Czarna, gmina wiejska Czarna, gmina wiejska Czermin, gmina wiejska Czudec, gmina wiejska Dębica, gmina wiejska Dębowiec, gmina wiejska Domaradz, gmina miejsko-wiejska Dubiecko, gmina wiejska Dydnia, gmina wiejska Dynów, gmina wiejska Dzikowiec, gmina wiejska Fredropol, gmina wiejska Frysztak, gmina wiejska Gać, gmina wiejska Gawłuszowice, gmina wiejska Gorzyce, gmina wiejska Grębów, gmina wiejska Grodzisko Dolne, gmina wiejska Haczów, gmina wiejska Harasiuki, gmina wiejska Horyniec-Zdrój, gmina wiejska Hyżne, gmina miejsko-wiejska Nisko, gmina miejsko-wiejska Rudnik nad Sanem, gmina miejsko-wiejska Sokołów Małopolski, gmina miejsko-wiejska Ulanów, gmina wiejska Iwierzyce, gmina wiejska Jarocin, gmina wiejska Jarosław, gmina wiejska Jasienica Rosielna, gmina wiejska Jasło, gmina wiejska Jaśliska, gmina wiejska Jawornik Polski, gmina miejsko-wiejska Jedlicze, gmina wiejska Jeżowe, gmina wiejska Jodłowa, gmina wiejska Kamień, gmina wiejska Komańcza, gmina wiejska Korczyna, gmina wiejska Krasiczyn, gmina wiejska Krasne, gmina wiejska Krempna, gmina wiejska Krościenko Wyżne, gmina wiejska Krzeszów, gmina wiejska Krzywcza, gmina wiejska Kuryłówka, gmina wiejska Laszki, gmina wiejska Leżajsk, gmina wiejska Lubaczów, gmina wiejska Lubenia, gmina wiejska Lutowiska, gmina wiejska Łańcut, gmina wiejska Majdan Królewski, gmina wiejska Markowa, gmina wiejska Medyka, gmina wiejska Miejsce Piastowe, gmina wiejska Mielec, gmina wiejska Niebylec, gmina wiejska Niwiska, gmina wiejska Nowy Żmigród, gmina wiejska Nozdrzec, gmina wiejska Olszanica, gmina wiejska Orły, gmina wiejska Osiek Jasielski, gmina wiejska Ostrów, gmina wiejska Padew Narodowa, gmina wiejska Pawłosiów, gmina wiejska Przemyśl, gmina wiejska Przeworsk, gmina wiejska Pysznica, gmina wiejska Radomyśl nad Sanem, gmina wiejska Radymno, gmina wiejska Rakszawa, gmina wiejska Raniżów, gmina wiejska Rokietnica, gmina wiejska Roźwienica, gmina wiejska Sanok, gmina wiejska Skołyszyn, gmina wiejska Solina, gmina wiejska Stary Dzików, gmina wiejska Stubno, gmina wiejska Świlcza, gmina wiejska Tarnowiec, gmina wiejska Tryńcza, gmina wiejska Trzebownisko, gmina wiejska Tuszów Narodowy, gmina wiejska Tyrawa Wołoska, gmina wiejska Wadowice Górne, gmina wiejska Wiązownica, gmina wiejska Wielkie Oczy, gmina wiejska Wielopole Skrzyńskie, gmina wiejska Wiśniowa, gmina wiejska Wojaszówka, gmina wiejska Zaleszany, gmina wiejska Zarszyn, gmina wiejska Zarzecze, gmina wiejska Żołynia, gmina wiejska Żurawica, gmina wiejska Żyraków, województwo Podkarpackie, gmina miejska Dynów, gmina miejsko-wiejska Baranów Sandomierski, gmina miejsko-wiejska Cieszanów, gmina miejsko-wiejska Lesko, gmina miejsko-wiejska Narol, gmina miejsko-wiejska Nowa Dęba, gmina miejsko-wiejska Oleszyce, gmina miejsko-wiejska Kańczuga, gmina miejsko-wiejska Nowa Sarzyna, gmina miejsko-wiejska Sieniawa, gmina miejsko-wiejska Zagórz, gmina miejska Jarosław, gmina miejska Krosno, gmina miejska Łańcut, gmina miejska Przeworsk, gmina miejska Radymno, gmina miejska Sanok, gmina miejska Stalowa Wola, gmina miejska Tarnobrzeg, gmina miejska Jasło, gmina miejska Leżajsk, gmina miejsko-wiejska Radomyśl Wielki, gmina miejsko-wiejska Błażowa, gmina miejsko-wiejska Boguchwała, gmina miejsko-wiejska </w:t>
            </w:r>
            <w:r w:rsidRPr="001816BC">
              <w:rPr>
                <w:rFonts w:ascii="Arial" w:eastAsia="Verdana" w:hAnsi="Arial" w:cs="Arial"/>
                <w:sz w:val="20"/>
                <w:szCs w:val="20"/>
                <w:shd w:val="clear" w:color="auto" w:fill="FFFFFF"/>
                <w:lang w:val="en-US" w:eastAsia="pl-PL"/>
              </w:rPr>
              <w:lastRenderedPageBreak/>
              <w:t>Brzostek, gmina miejsko-wiejska Brzozów, gmina miejska Dębica, gmina miejsko-wiejska Dukla, gmina miejsko-wiejska Głogów Małopolski, gmina miejsko-wiejska Iwonicz-Zdrój, gmina miejsko-wiejska Kolbuszowa, gmina miejsko-wiejska Kołaczyce, gmina miejska Lubaczów, gmina miejska Mielec, gmina miejsko-wiejska Pilzno, gmina miejsko-wiejska Pruchnik, gmina miejsko-wiejska Przecław, gmina miejska Przemyśl, gmina miejsko-wiejska Ropczyce, gmina miejsko-wiejska Rymanów, gmina miejsko-wiejska Sędziszów Małopolski, gmina miejsko-wiejska Strzyżów, gmina miejsko-wiejska Tyczyn, gmina miejsko-wiejska Ustrzyki Dolne, gmina miejsko-wiejska Zaklików</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7.</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Termin zastosowania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2022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8.</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Stan zaawansowania realizacji działania naprawczego w odniesieniu do wartości zaplanowanej do wykonania w danym roku sprawozdawczym</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76,52%</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9.</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Skala czasowa osiągnięcia redukcji stężenia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C: długoterminowy (4-6 lat)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10.</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Kategoria źródeł emisji, której dotyczy działanie naprawcze</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D: źródła związane z handlem i mieszkalnictwem</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11.</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Efekt rzeczowy działania naprawczego obliczony (oszacowany) na podstawie wskaźnika(-ków) monitorowania postępu realizacji działania naprawczego w ciągu roku realizacji programu ochrony powietrza</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Udział w ogólnopolskich akcjach edukacyjnych: </w:t>
            </w:r>
            <w:r w:rsidRPr="001816BC">
              <w:rPr>
                <w:rFonts w:ascii="Arial" w:eastAsia="Verdana" w:hAnsi="Arial" w:cs="Arial"/>
                <w:b/>
                <w:bCs/>
                <w:sz w:val="20"/>
                <w:szCs w:val="20"/>
                <w:shd w:val="clear" w:color="auto" w:fill="FFFFFF"/>
                <w:lang w:val="en-US" w:eastAsia="pl-PL"/>
              </w:rPr>
              <w:t>1175</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Liczba przeprowadzonych akcji edukacyjnych dotyczących czystości powietrza: </w:t>
            </w:r>
            <w:r w:rsidRPr="001816BC">
              <w:rPr>
                <w:rFonts w:ascii="Arial" w:eastAsia="Verdana" w:hAnsi="Arial" w:cs="Arial"/>
                <w:b/>
                <w:bCs/>
                <w:sz w:val="20"/>
                <w:szCs w:val="20"/>
                <w:shd w:val="clear" w:color="auto" w:fill="FFFFFF"/>
                <w:lang w:val="en-US" w:eastAsia="pl-PL"/>
              </w:rPr>
              <w:t>804</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Szacunkowa liczba osób objętych działaniami edukacyjnymi: </w:t>
            </w:r>
            <w:r w:rsidRPr="001816BC">
              <w:rPr>
                <w:rFonts w:ascii="Arial" w:eastAsia="Verdana" w:hAnsi="Arial" w:cs="Arial"/>
                <w:b/>
                <w:bCs/>
                <w:sz w:val="20"/>
                <w:szCs w:val="20"/>
                <w:shd w:val="clear" w:color="auto" w:fill="FFFFFF"/>
                <w:lang w:val="en-US" w:eastAsia="pl-PL"/>
              </w:rPr>
              <w:t>1166063</w:t>
            </w:r>
            <w:r w:rsidRPr="001816BC">
              <w:rPr>
                <w:rFonts w:ascii="Arial" w:eastAsia="Verdana" w:hAnsi="Arial" w:cs="Arial"/>
                <w:sz w:val="20"/>
                <w:szCs w:val="20"/>
                <w:shd w:val="clear" w:color="auto" w:fill="FFFFFF"/>
                <w:lang w:val="en-US" w:eastAsia="pl-PL"/>
              </w:rPr>
              <w:t xml:space="preserve"> os.</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Działania informacyjne nt. uchwały antysmogowej: </w:t>
            </w:r>
            <w:r w:rsidRPr="001816BC">
              <w:rPr>
                <w:rFonts w:ascii="Arial" w:eastAsia="Verdana" w:hAnsi="Arial" w:cs="Arial"/>
                <w:b/>
                <w:bCs/>
                <w:sz w:val="20"/>
                <w:szCs w:val="20"/>
                <w:shd w:val="clear" w:color="auto" w:fill="FFFFFF"/>
                <w:lang w:val="en-US" w:eastAsia="pl-PL"/>
              </w:rPr>
              <w:t>4</w:t>
            </w:r>
            <w:r w:rsidRPr="001816BC">
              <w:rPr>
                <w:rFonts w:ascii="Arial" w:eastAsia="Verdana" w:hAnsi="Arial" w:cs="Arial"/>
                <w:sz w:val="20"/>
                <w:szCs w:val="20"/>
                <w:shd w:val="clear" w:color="auto" w:fill="FFFFFF"/>
                <w:lang w:val="en-US" w:eastAsia="pl-PL"/>
              </w:rPr>
              <w:t xml:space="preserve"> szt.</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Szacunkowa liczba osób objętych działaniami informacyjnymi: </w:t>
            </w:r>
            <w:r w:rsidRPr="001816BC">
              <w:rPr>
                <w:rFonts w:ascii="Arial" w:eastAsia="Verdana" w:hAnsi="Arial" w:cs="Arial"/>
                <w:b/>
                <w:bCs/>
                <w:sz w:val="20"/>
                <w:szCs w:val="20"/>
                <w:shd w:val="clear" w:color="auto" w:fill="FFFFFF"/>
                <w:lang w:val="en-US" w:eastAsia="pl-PL"/>
              </w:rPr>
              <w:t>2000000</w:t>
            </w:r>
            <w:r w:rsidRPr="001816BC">
              <w:rPr>
                <w:rFonts w:ascii="Arial" w:eastAsia="Verdana" w:hAnsi="Arial" w:cs="Arial"/>
                <w:sz w:val="20"/>
                <w:szCs w:val="20"/>
                <w:shd w:val="clear" w:color="auto" w:fill="FFFFFF"/>
                <w:lang w:val="en-US" w:eastAsia="pl-PL"/>
              </w:rPr>
              <w:t xml:space="preserve"> os.</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12.</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Redukcja wielkości emisji poszczególnych substancji w powietrzu osiągnięta w wyniku realizacji działania naprawczego w ciągu roku realizacji programu ochrony powietrza (Mg/rok)</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lastRenderedPageBreak/>
              <w:t>13.</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PLN)</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Budżet gminy 244 668,86</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Budżet powiatu 83 693,14</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Budżet województwa 1 397 066,92</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Program „Edukacja ekologiczna” 25 548,03</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Inne źródła finansowania (w uwagach podać jakie) 322 232,32</w:t>
            </w:r>
            <w:r w:rsidRPr="001816BC">
              <w:rPr>
                <w:rFonts w:ascii="Arial" w:eastAsia="Arial" w:hAnsi="Arial" w:cs="Arial"/>
                <w:sz w:val="20"/>
                <w:szCs w:val="20"/>
                <w:lang w:val="en-US" w:eastAsia="pl-PL"/>
              </w:rPr>
              <w:br/>
            </w:r>
            <w:r w:rsidRPr="001816BC">
              <w:rPr>
                <w:rFonts w:ascii="Arial" w:eastAsia="Verdana" w:hAnsi="Arial" w:cs="Arial"/>
                <w:sz w:val="20"/>
                <w:szCs w:val="20"/>
                <w:shd w:val="clear" w:color="auto" w:fill="FFFFFF"/>
                <w:lang w:val="en-US" w:eastAsia="pl-PL"/>
              </w:rPr>
              <w:t xml:space="preserve">Łącznie </w:t>
            </w:r>
            <w:r w:rsidRPr="001816BC">
              <w:rPr>
                <w:rFonts w:ascii="Arial" w:eastAsia="Verdana" w:hAnsi="Arial" w:cs="Arial"/>
                <w:b/>
                <w:bCs/>
                <w:sz w:val="20"/>
                <w:szCs w:val="20"/>
                <w:shd w:val="clear" w:color="auto" w:fill="FFFFFF"/>
                <w:lang w:val="en-US" w:eastAsia="pl-PL"/>
              </w:rPr>
              <w:t>2 073 209,27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14.</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Wysokość poniesionych kosztów (w EUR)</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r w:rsidRPr="001816BC">
              <w:rPr>
                <w:rFonts w:ascii="Arial" w:eastAsia="Verdana" w:hAnsi="Arial" w:cs="Arial"/>
                <w:sz w:val="20"/>
                <w:szCs w:val="20"/>
                <w:shd w:val="clear" w:color="auto" w:fill="FFFFFF"/>
                <w:lang w:val="en-US" w:eastAsia="pl-PL"/>
              </w:rPr>
              <w:t xml:space="preserve">442 832,58 przyjęto kurs średni </w:t>
            </w:r>
            <w:r>
              <w:rPr>
                <w:rFonts w:ascii="Arial" w:eastAsia="Verdana" w:hAnsi="Arial" w:cs="Arial"/>
                <w:sz w:val="20"/>
                <w:szCs w:val="20"/>
                <w:shd w:val="clear" w:color="auto" w:fill="FFFFFF"/>
                <w:lang w:val="en-US" w:eastAsia="pl-PL"/>
              </w:rPr>
              <w:t>euro (EUR) z dnia 23.03.2023 nr </w:t>
            </w:r>
            <w:r w:rsidRPr="001816BC">
              <w:rPr>
                <w:rFonts w:ascii="Arial" w:eastAsia="Verdana" w:hAnsi="Arial" w:cs="Arial"/>
                <w:sz w:val="20"/>
                <w:szCs w:val="20"/>
                <w:shd w:val="clear" w:color="auto" w:fill="FFFFFF"/>
                <w:lang w:val="en-US" w:eastAsia="pl-PL"/>
              </w:rPr>
              <w:t>058/A/NBP/2023 wynoszący 4,6817</w:t>
            </w:r>
          </w:p>
        </w:tc>
      </w:tr>
      <w:tr w:rsidR="001816BC" w:rsidRPr="001816BC" w:rsidTr="002575C5">
        <w:tc>
          <w:tcPr>
            <w:tcW w:w="166"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15.</w:t>
            </w:r>
          </w:p>
        </w:tc>
        <w:tc>
          <w:tcPr>
            <w:tcW w:w="928" w:type="pct"/>
            <w:shd w:val="clear" w:color="auto" w:fill="CCCCCC"/>
          </w:tcPr>
          <w:p w:rsidR="001816BC" w:rsidRPr="001816BC" w:rsidRDefault="001816BC" w:rsidP="002575C5">
            <w:pPr>
              <w:pStyle w:val="Nagwek3"/>
              <w:rPr>
                <w:rFonts w:eastAsia="Arial"/>
                <w:lang w:val="en-US" w:eastAsia="pl-PL"/>
              </w:rPr>
            </w:pPr>
            <w:r w:rsidRPr="001816BC">
              <w:rPr>
                <w:rFonts w:eastAsia="Verdana"/>
                <w:shd w:val="clear" w:color="auto" w:fill="CCCCCC"/>
                <w:lang w:val="en-US" w:eastAsia="pl-PL"/>
              </w:rPr>
              <w:t>Uwagi</w:t>
            </w:r>
          </w:p>
        </w:tc>
        <w:tc>
          <w:tcPr>
            <w:tcW w:w="3906" w:type="pct"/>
            <w:shd w:val="clear" w:color="auto" w:fill="FFFFFF"/>
          </w:tcPr>
          <w:p w:rsidR="001816BC" w:rsidRPr="001816BC" w:rsidRDefault="001816BC" w:rsidP="001816BC">
            <w:pPr>
              <w:rPr>
                <w:rFonts w:ascii="Arial" w:eastAsia="Arial" w:hAnsi="Arial" w:cs="Arial"/>
                <w:sz w:val="20"/>
                <w:szCs w:val="20"/>
                <w:lang w:val="en-US" w:eastAsia="pl-PL"/>
              </w:rPr>
            </w:pPr>
          </w:p>
        </w:tc>
      </w:tr>
    </w:tbl>
    <w:p w:rsidR="001816BC" w:rsidRPr="001816BC" w:rsidRDefault="001816BC">
      <w:pPr>
        <w:rPr>
          <w:rFonts w:ascii="Arial" w:hAnsi="Arial" w:cs="Arial"/>
          <w:sz w:val="20"/>
          <w:szCs w:val="20"/>
        </w:rPr>
      </w:pPr>
    </w:p>
    <w:sectPr w:rsidR="001816BC" w:rsidRPr="001816BC">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BC"/>
    <w:rsid w:val="00156794"/>
    <w:rsid w:val="001816BC"/>
    <w:rsid w:val="002575C5"/>
    <w:rsid w:val="00366B15"/>
    <w:rsid w:val="006642BB"/>
    <w:rsid w:val="00697301"/>
    <w:rsid w:val="00732ED4"/>
    <w:rsid w:val="007505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1C7C-69D3-451C-8722-79993893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816BC"/>
    <w:pPr>
      <w:keepNext/>
      <w:keepLines/>
      <w:spacing w:before="240" w:after="0"/>
      <w:outlineLvl w:val="0"/>
    </w:pPr>
    <w:rPr>
      <w:rFonts w:ascii="Arial" w:eastAsiaTheme="majorEastAsia" w:hAnsi="Arial" w:cstheme="majorBidi"/>
      <w:szCs w:val="32"/>
    </w:rPr>
  </w:style>
  <w:style w:type="paragraph" w:styleId="Nagwek2">
    <w:name w:val="heading 2"/>
    <w:basedOn w:val="Normalny"/>
    <w:next w:val="Normalny"/>
    <w:link w:val="Nagwek2Znak"/>
    <w:uiPriority w:val="9"/>
    <w:unhideWhenUsed/>
    <w:qFormat/>
    <w:rsid w:val="001816BC"/>
    <w:pPr>
      <w:keepNext/>
      <w:keepLines/>
      <w:spacing w:before="40" w:after="0"/>
      <w:outlineLvl w:val="1"/>
    </w:pPr>
    <w:rPr>
      <w:rFonts w:ascii="Arial" w:eastAsiaTheme="majorEastAsia" w:hAnsi="Arial" w:cstheme="majorBidi"/>
      <w:sz w:val="20"/>
      <w:szCs w:val="26"/>
    </w:rPr>
  </w:style>
  <w:style w:type="paragraph" w:styleId="Nagwek3">
    <w:name w:val="heading 3"/>
    <w:basedOn w:val="Normalny"/>
    <w:next w:val="Normalny"/>
    <w:link w:val="Nagwek3Znak"/>
    <w:uiPriority w:val="9"/>
    <w:unhideWhenUsed/>
    <w:qFormat/>
    <w:rsid w:val="002575C5"/>
    <w:pPr>
      <w:keepNext/>
      <w:keepLines/>
      <w:spacing w:before="40" w:after="0"/>
      <w:outlineLvl w:val="2"/>
    </w:pPr>
    <w:rPr>
      <w:rFonts w:ascii="Arial" w:eastAsiaTheme="majorEastAsia" w:hAnsi="Arial" w:cstheme="majorBidi"/>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816BC"/>
    <w:pPr>
      <w:spacing w:after="0" w:line="240" w:lineRule="auto"/>
      <w:contextualSpacing/>
    </w:pPr>
    <w:rPr>
      <w:rFonts w:ascii="Arial" w:eastAsiaTheme="majorEastAsia" w:hAnsi="Arial" w:cstheme="majorBidi"/>
      <w:b/>
      <w:spacing w:val="-10"/>
      <w:kern w:val="28"/>
      <w:sz w:val="24"/>
      <w:szCs w:val="56"/>
    </w:rPr>
  </w:style>
  <w:style w:type="character" w:customStyle="1" w:styleId="TytuZnak">
    <w:name w:val="Tytuł Znak"/>
    <w:basedOn w:val="Domylnaczcionkaakapitu"/>
    <w:link w:val="Tytu"/>
    <w:uiPriority w:val="10"/>
    <w:rsid w:val="001816BC"/>
    <w:rPr>
      <w:rFonts w:ascii="Arial" w:eastAsiaTheme="majorEastAsia" w:hAnsi="Arial" w:cstheme="majorBidi"/>
      <w:b/>
      <w:spacing w:val="-10"/>
      <w:kern w:val="28"/>
      <w:sz w:val="24"/>
      <w:szCs w:val="56"/>
    </w:rPr>
  </w:style>
  <w:style w:type="character" w:customStyle="1" w:styleId="Nagwek1Znak">
    <w:name w:val="Nagłówek 1 Znak"/>
    <w:basedOn w:val="Domylnaczcionkaakapitu"/>
    <w:link w:val="Nagwek1"/>
    <w:uiPriority w:val="9"/>
    <w:rsid w:val="001816BC"/>
    <w:rPr>
      <w:rFonts w:ascii="Arial" w:eastAsiaTheme="majorEastAsia" w:hAnsi="Arial" w:cstheme="majorBidi"/>
      <w:szCs w:val="32"/>
    </w:rPr>
  </w:style>
  <w:style w:type="character" w:customStyle="1" w:styleId="Nagwek2Znak">
    <w:name w:val="Nagłówek 2 Znak"/>
    <w:basedOn w:val="Domylnaczcionkaakapitu"/>
    <w:link w:val="Nagwek2"/>
    <w:uiPriority w:val="9"/>
    <w:rsid w:val="001816BC"/>
    <w:rPr>
      <w:rFonts w:ascii="Arial" w:eastAsiaTheme="majorEastAsia" w:hAnsi="Arial" w:cstheme="majorBidi"/>
      <w:sz w:val="20"/>
      <w:szCs w:val="26"/>
    </w:rPr>
  </w:style>
  <w:style w:type="character" w:customStyle="1" w:styleId="Nagwek3Znak">
    <w:name w:val="Nagłówek 3 Znak"/>
    <w:basedOn w:val="Domylnaczcionkaakapitu"/>
    <w:link w:val="Nagwek3"/>
    <w:uiPriority w:val="9"/>
    <w:rsid w:val="002575C5"/>
    <w:rPr>
      <w:rFonts w:ascii="Arial" w:eastAsiaTheme="majorEastAsia" w:hAnsi="Arial" w:cstheme="maj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p.podkarpackie.pl/index.php/samorzad-wojewodztwa/informacja-o-srodowisku/ochrona-powietrz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B40E-04DC-47EC-8D5E-3F0DEFEC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5550</Words>
  <Characters>33305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Sprawozdanie za rok 2022 z realizacji Programu ochrony powietrza dla strefy podkarpackiej</vt:lpstr>
    </vt:vector>
  </TitlesOfParts>
  <Company/>
  <LinksUpToDate>false</LinksUpToDate>
  <CharactersWithSpaces>38778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za rok 2022 z realizacji Programu ochrony powietrza dla strefy podkarpackiej</dc:title>
  <dc:subject/>
  <dc:creator>Anna Pleskacz</dc:creator>
  <cp:keywords/>
  <dc:description/>
  <cp:lastModifiedBy>Anna Pleskacz</cp:lastModifiedBy>
  <cp:revision>4</cp:revision>
  <dcterms:created xsi:type="dcterms:W3CDTF">2023-03-24T09:53:00Z</dcterms:created>
  <dcterms:modified xsi:type="dcterms:W3CDTF">2023-03-27T07:46:00Z</dcterms:modified>
</cp:coreProperties>
</file>